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304986</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Electronic Meeting</w:t>
      </w:r>
      <w:r>
        <w:rPr>
          <w:rFonts w:ascii="Arial" w:hAnsi="Arial" w:eastAsia="宋体"/>
          <w:b/>
          <w:color w:val="auto"/>
          <w:sz w:val="24"/>
          <w:lang w:eastAsia="zh-CN"/>
        </w:rPr>
        <w:t xml:space="preserve">, </w:t>
      </w:r>
      <w:r>
        <w:rPr>
          <w:rFonts w:hint="eastAsia" w:ascii="Arial" w:hAnsi="Arial" w:eastAsia="宋体"/>
          <w:b/>
          <w:color w:val="auto"/>
          <w:sz w:val="24"/>
          <w:lang w:val="en-US" w:eastAsia="zh-CN"/>
        </w:rPr>
        <w:t>1</w:t>
      </w:r>
      <w:r>
        <w:rPr>
          <w:rFonts w:hint="eastAsia" w:ascii="Arial" w:hAnsi="Arial" w:eastAsia="宋体" w:cs="Arial"/>
          <w:b/>
          <w:bCs/>
          <w:sz w:val="24"/>
          <w:szCs w:val="24"/>
          <w:lang w:val="en-US" w:eastAsia="zh-CN"/>
        </w:rPr>
        <w:t xml:space="preserve">7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Apr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timing adjustment for air-to-ground network</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5.14.4.3</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last meeting, RAN4 has spread general discussion around RRM aspects in ATG case. The following agreements were achieved in [1] around timing and frequency adjustment: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1" w:hRule="atLeast"/>
        </w:trPr>
        <w:tc>
          <w:tcPr>
            <w:tcW w:w="9514" w:type="dxa"/>
          </w:tcPr>
          <w:p>
            <w:pPr>
              <w:rPr>
                <w:b/>
                <w:sz w:val="20"/>
                <w:szCs w:val="20"/>
                <w:u w:val="single"/>
                <w:lang w:eastAsia="ko-KR"/>
              </w:rPr>
            </w:pPr>
            <w:r>
              <w:rPr>
                <w:b/>
                <w:sz w:val="20"/>
                <w:szCs w:val="20"/>
                <w:u w:val="single"/>
                <w:lang w:eastAsia="ko-KR"/>
              </w:rPr>
              <w:t>Issue 3-1-1: How to introduce UE based Timing pre-compensation</w:t>
            </w:r>
          </w:p>
          <w:p>
            <w:pPr>
              <w:spacing w:after="60"/>
              <w:rPr>
                <w:rFonts w:eastAsiaTheme="minorEastAsia"/>
                <w:iCs/>
                <w:sz w:val="20"/>
                <w:szCs w:val="20"/>
              </w:rPr>
            </w:pPr>
            <w:r>
              <w:rPr>
                <w:rFonts w:hint="eastAsia" w:eastAsiaTheme="minorEastAsia"/>
                <w:iCs/>
                <w:sz w:val="20"/>
                <w:szCs w:val="20"/>
                <w:highlight w:val="green"/>
              </w:rPr>
              <w:t>Agreement</w:t>
            </w:r>
            <w:r>
              <w:rPr>
                <w:rFonts w:hint="eastAsia" w:eastAsiaTheme="minorEastAsia"/>
                <w:iCs/>
                <w:sz w:val="20"/>
                <w:szCs w:val="20"/>
              </w:rPr>
              <w:t>:</w:t>
            </w:r>
          </w:p>
          <w:p>
            <w:pPr>
              <w:pStyle w:val="28"/>
              <w:numPr>
                <w:ilvl w:val="0"/>
                <w:numId w:val="4"/>
              </w:numPr>
              <w:spacing w:after="120"/>
              <w:ind w:hanging="357" w:firstLineChars="0"/>
              <w:rPr>
                <w:rFonts w:eastAsia="宋体" w:cs="Times New Roman"/>
                <w:sz w:val="20"/>
                <w:szCs w:val="20"/>
              </w:rPr>
            </w:pPr>
            <w:r>
              <w:rPr>
                <w:rFonts w:eastAsia="宋体" w:cs="Times New Roman"/>
                <w:sz w:val="20"/>
                <w:szCs w:val="20"/>
              </w:rPr>
              <w:t>UE-based timing pre-compensation for ATG network should be supported in case of</w:t>
            </w:r>
            <w:r>
              <w:rPr>
                <w:rFonts w:hint="eastAsia" w:eastAsia="宋体" w:cs="Times New Roman"/>
                <w:sz w:val="20"/>
                <w:szCs w:val="20"/>
              </w:rPr>
              <w:t xml:space="preserve"> 15KHz, </w:t>
            </w:r>
            <w:r>
              <w:rPr>
                <w:rFonts w:eastAsia="宋体" w:cs="Times New Roman"/>
                <w:sz w:val="20"/>
                <w:szCs w:val="20"/>
              </w:rPr>
              <w:t>30kHz and 60kHz SCS.</w:t>
            </w:r>
          </w:p>
          <w:p>
            <w:pPr>
              <w:pStyle w:val="28"/>
              <w:numPr>
                <w:ilvl w:val="0"/>
                <w:numId w:val="4"/>
              </w:numPr>
              <w:spacing w:after="120"/>
              <w:ind w:hanging="357" w:firstLineChars="0"/>
              <w:rPr>
                <w:rFonts w:eastAsia="宋体" w:cs="Times New Roman"/>
                <w:sz w:val="20"/>
                <w:szCs w:val="20"/>
              </w:rPr>
            </w:pPr>
            <w:r>
              <w:rPr>
                <w:rFonts w:eastAsia="宋体" w:cs="Times New Roman"/>
                <w:sz w:val="20"/>
                <w:szCs w:val="20"/>
              </w:rPr>
              <w:t>Network is expected to provide location information to assist UE-based timing pre-compensation for ATG network</w:t>
            </w:r>
          </w:p>
          <w:p>
            <w:pPr>
              <w:pStyle w:val="28"/>
              <w:numPr>
                <w:ilvl w:val="1"/>
                <w:numId w:val="4"/>
              </w:numPr>
              <w:spacing w:after="120"/>
              <w:ind w:firstLineChars="0"/>
              <w:rPr>
                <w:rFonts w:eastAsia="宋体" w:cs="Times New Roman"/>
                <w:sz w:val="20"/>
                <w:szCs w:val="20"/>
              </w:rPr>
            </w:pPr>
            <w:r>
              <w:rPr>
                <w:rFonts w:eastAsia="宋体" w:cs="Times New Roman"/>
                <w:sz w:val="20"/>
                <w:szCs w:val="20"/>
              </w:rPr>
              <w:t xml:space="preserve">Option 1: Reuse </w:t>
            </w:r>
            <w:r>
              <w:rPr>
                <w:rFonts w:hint="eastAsia" w:eastAsia="宋体" w:cs="Times New Roman"/>
                <w:sz w:val="20"/>
                <w:szCs w:val="20"/>
              </w:rPr>
              <w:t xml:space="preserve">SIB19 </w:t>
            </w:r>
            <w:r>
              <w:rPr>
                <w:rFonts w:eastAsia="宋体" w:cs="Times New Roman"/>
                <w:sz w:val="20"/>
                <w:szCs w:val="20"/>
              </w:rPr>
              <w:t>for</w:t>
            </w:r>
            <w:r>
              <w:rPr>
                <w:rFonts w:hint="eastAsia" w:eastAsia="宋体" w:cs="Times New Roman"/>
                <w:sz w:val="20"/>
                <w:szCs w:val="20"/>
              </w:rPr>
              <w:t xml:space="preserve"> ATG.</w:t>
            </w:r>
          </w:p>
          <w:p>
            <w:pPr>
              <w:pStyle w:val="28"/>
              <w:numPr>
                <w:ilvl w:val="1"/>
                <w:numId w:val="4"/>
              </w:numPr>
              <w:spacing w:after="120"/>
              <w:ind w:firstLineChars="0"/>
              <w:rPr>
                <w:rFonts w:eastAsia="宋体" w:cs="Times New Roman"/>
                <w:sz w:val="20"/>
                <w:szCs w:val="20"/>
              </w:rPr>
            </w:pPr>
            <w:r>
              <w:rPr>
                <w:rFonts w:eastAsia="宋体" w:cs="Times New Roman"/>
                <w:sz w:val="20"/>
                <w:szCs w:val="20"/>
              </w:rPr>
              <w:t>Other options are not precluded</w:t>
            </w:r>
          </w:p>
          <w:p>
            <w:pPr>
              <w:rPr>
                <w:b/>
                <w:sz w:val="20"/>
                <w:szCs w:val="20"/>
                <w:u w:val="single"/>
                <w:vertAlign w:val="subscript"/>
                <w:lang w:eastAsia="ko-KR"/>
              </w:rPr>
            </w:pPr>
            <w:r>
              <w:rPr>
                <w:b/>
                <w:sz w:val="20"/>
                <w:szCs w:val="20"/>
                <w:u w:val="single"/>
                <w:lang w:eastAsia="ko-KR"/>
              </w:rPr>
              <w:t>Issue 3-1-2: Initial transmit timing requirements T</w:t>
            </w:r>
            <w:r>
              <w:rPr>
                <w:b/>
                <w:sz w:val="20"/>
                <w:szCs w:val="20"/>
                <w:u w:val="single"/>
                <w:vertAlign w:val="subscript"/>
                <w:lang w:eastAsia="ko-KR"/>
              </w:rPr>
              <w:t>e</w:t>
            </w:r>
          </w:p>
          <w:p>
            <w:pPr>
              <w:spacing w:after="60"/>
              <w:rPr>
                <w:rFonts w:eastAsiaTheme="minorEastAsia"/>
                <w:iCs/>
                <w:sz w:val="20"/>
                <w:szCs w:val="20"/>
              </w:rPr>
            </w:pPr>
            <w:r>
              <w:rPr>
                <w:rFonts w:hint="eastAsia" w:eastAsiaTheme="minorEastAsia"/>
                <w:iCs/>
                <w:sz w:val="20"/>
                <w:szCs w:val="20"/>
                <w:highlight w:val="green"/>
              </w:rPr>
              <w:t>Agreement</w:t>
            </w:r>
            <w:r>
              <w:rPr>
                <w:rFonts w:hint="eastAsia" w:eastAsiaTheme="minorEastAsia"/>
                <w:iCs/>
                <w:sz w:val="20"/>
                <w:szCs w:val="20"/>
              </w:rPr>
              <w:t xml:space="preserve">: </w:t>
            </w:r>
          </w:p>
          <w:p>
            <w:pPr>
              <w:pStyle w:val="28"/>
              <w:numPr>
                <w:ilvl w:val="0"/>
                <w:numId w:val="4"/>
              </w:numPr>
              <w:spacing w:after="120"/>
              <w:ind w:hanging="357" w:firstLineChars="0"/>
              <w:rPr>
                <w:rFonts w:eastAsia="宋体" w:cs="Times New Roman"/>
                <w:sz w:val="20"/>
                <w:szCs w:val="20"/>
              </w:rPr>
            </w:pPr>
            <w:r>
              <w:rPr>
                <w:rFonts w:hint="eastAsia" w:eastAsia="宋体" w:cs="Times New Roman"/>
                <w:sz w:val="20"/>
                <w:szCs w:val="20"/>
              </w:rPr>
              <w:t xml:space="preserve">For </w:t>
            </w:r>
            <w:r>
              <w:rPr>
                <w:rFonts w:eastAsia="宋体" w:cs="Times New Roman"/>
                <w:sz w:val="20"/>
                <w:szCs w:val="20"/>
              </w:rPr>
              <w:t>Initial transmit timing requirements Te</w:t>
            </w:r>
            <w:r>
              <w:rPr>
                <w:rFonts w:hint="eastAsia" w:eastAsia="宋体" w:cs="Times New Roman"/>
                <w:sz w:val="20"/>
                <w:szCs w:val="20"/>
              </w:rPr>
              <w:t>,</w:t>
            </w:r>
            <w:r>
              <w:rPr>
                <w:rFonts w:eastAsia="宋体" w:cs="Times New Roman"/>
                <w:sz w:val="20"/>
                <w:szCs w:val="20"/>
              </w:rPr>
              <w:t xml:space="preserve"> UE pre-compensation timing error</w:t>
            </w:r>
            <w:r>
              <w:rPr>
                <w:rFonts w:hint="eastAsia" w:eastAsia="宋体" w:cs="Times New Roman"/>
                <w:sz w:val="20"/>
                <w:szCs w:val="20"/>
              </w:rPr>
              <w:t xml:space="preserve"> should be considered. </w:t>
            </w:r>
          </w:p>
          <w:p>
            <w:pPr>
              <w:pStyle w:val="28"/>
              <w:numPr>
                <w:ilvl w:val="0"/>
                <w:numId w:val="4"/>
              </w:numPr>
              <w:spacing w:after="120"/>
              <w:ind w:hanging="357" w:firstLineChars="0"/>
              <w:rPr>
                <w:rFonts w:eastAsia="宋体" w:cs="Times New Roman"/>
                <w:sz w:val="20"/>
                <w:szCs w:val="20"/>
              </w:rPr>
            </w:pPr>
            <w:r>
              <w:rPr>
                <w:rFonts w:eastAsia="宋体" w:cs="Times New Roman"/>
                <w:sz w:val="20"/>
                <w:szCs w:val="20"/>
              </w:rPr>
              <w:t xml:space="preserve">The GNSS accuracy is </w:t>
            </w:r>
            <w:r>
              <w:rPr>
                <w:rFonts w:hint="eastAsia" w:eastAsia="宋体" w:cs="Times New Roman"/>
                <w:sz w:val="20"/>
                <w:szCs w:val="20"/>
              </w:rPr>
              <w:t>FFS.</w:t>
            </w:r>
          </w:p>
          <w:p>
            <w:pPr>
              <w:pStyle w:val="28"/>
              <w:numPr>
                <w:ilvl w:val="1"/>
                <w:numId w:val="4"/>
              </w:numPr>
              <w:spacing w:after="120"/>
              <w:ind w:firstLineChars="0"/>
              <w:rPr>
                <w:rFonts w:eastAsia="宋体" w:cs="Times New Roman"/>
                <w:sz w:val="20"/>
                <w:szCs w:val="20"/>
              </w:rPr>
            </w:pPr>
            <w:r>
              <w:rPr>
                <w:rFonts w:eastAsia="宋体" w:cs="Times New Roman"/>
                <w:sz w:val="20"/>
                <w:szCs w:val="20"/>
              </w:rPr>
              <w:t>O</w:t>
            </w:r>
            <w:r>
              <w:rPr>
                <w:rFonts w:hint="eastAsia" w:eastAsia="宋体" w:cs="Times New Roman"/>
                <w:sz w:val="20"/>
                <w:szCs w:val="20"/>
              </w:rPr>
              <w:t>ption 1: 50m</w:t>
            </w:r>
          </w:p>
          <w:p>
            <w:pPr>
              <w:pStyle w:val="28"/>
              <w:numPr>
                <w:ilvl w:val="1"/>
                <w:numId w:val="4"/>
              </w:numPr>
              <w:spacing w:after="120"/>
              <w:ind w:firstLineChars="0"/>
              <w:rPr>
                <w:rFonts w:eastAsia="宋体" w:cs="Times New Roman"/>
                <w:sz w:val="20"/>
                <w:szCs w:val="20"/>
              </w:rPr>
            </w:pPr>
            <w:r>
              <w:rPr>
                <w:rFonts w:hint="eastAsia" w:eastAsia="宋体" w:cs="Times New Roman"/>
                <w:sz w:val="20"/>
                <w:szCs w:val="20"/>
              </w:rPr>
              <w:t>Option 2: 30m</w:t>
            </w:r>
          </w:p>
          <w:p>
            <w:pPr>
              <w:pStyle w:val="28"/>
              <w:numPr>
                <w:ilvl w:val="1"/>
                <w:numId w:val="4"/>
              </w:numPr>
              <w:spacing w:after="120"/>
              <w:ind w:firstLineChars="0"/>
              <w:rPr>
                <w:rFonts w:eastAsia="宋体" w:cs="Times New Roman"/>
                <w:sz w:val="20"/>
                <w:szCs w:val="20"/>
              </w:rPr>
            </w:pPr>
            <w:r>
              <w:rPr>
                <w:rFonts w:hint="eastAsia" w:eastAsia="宋体" w:cs="Times New Roman"/>
                <w:sz w:val="20"/>
                <w:szCs w:val="20"/>
              </w:rPr>
              <w:t>Others are not precluded.</w:t>
            </w:r>
          </w:p>
          <w:p>
            <w:pPr>
              <w:rPr>
                <w:b/>
                <w:sz w:val="20"/>
                <w:szCs w:val="20"/>
                <w:u w:val="single"/>
                <w:lang w:eastAsia="ko-KR"/>
              </w:rPr>
            </w:pPr>
            <w:r>
              <w:rPr>
                <w:b/>
                <w:sz w:val="20"/>
                <w:szCs w:val="20"/>
                <w:u w:val="single"/>
                <w:lang w:eastAsia="ko-KR"/>
              </w:rPr>
              <w:t>Issue 3-1-3: Gradual timing adjustment</w:t>
            </w:r>
          </w:p>
          <w:p>
            <w:pPr>
              <w:spacing w:after="60"/>
              <w:rPr>
                <w:rFonts w:eastAsiaTheme="minorEastAsia"/>
                <w:iCs/>
                <w:sz w:val="20"/>
                <w:szCs w:val="20"/>
              </w:rPr>
            </w:pPr>
            <w:r>
              <w:rPr>
                <w:rFonts w:hint="eastAsia" w:eastAsiaTheme="minorEastAsia"/>
                <w:iCs/>
                <w:sz w:val="20"/>
                <w:szCs w:val="20"/>
                <w:highlight w:val="green"/>
              </w:rPr>
              <w:t>Agreement</w:t>
            </w:r>
            <w:r>
              <w:rPr>
                <w:rFonts w:hint="eastAsia" w:eastAsiaTheme="minorEastAsia"/>
                <w:iCs/>
                <w:sz w:val="20"/>
                <w:szCs w:val="20"/>
              </w:rPr>
              <w:t>:</w:t>
            </w:r>
          </w:p>
          <w:p>
            <w:pPr>
              <w:pStyle w:val="28"/>
              <w:numPr>
                <w:ilvl w:val="0"/>
                <w:numId w:val="4"/>
              </w:numPr>
              <w:spacing w:after="120"/>
              <w:ind w:hanging="357" w:firstLineChars="0"/>
              <w:rPr>
                <w:rFonts w:eastAsia="宋体" w:cs="Times New Roman"/>
                <w:sz w:val="20"/>
                <w:szCs w:val="20"/>
              </w:rPr>
            </w:pPr>
            <w:r>
              <w:rPr>
                <w:rFonts w:eastAsia="宋体" w:cs="Times New Roman"/>
                <w:sz w:val="20"/>
                <w:szCs w:val="20"/>
              </w:rPr>
              <w:t>Option 1</w:t>
            </w:r>
            <w:r>
              <w:rPr>
                <w:rFonts w:hint="eastAsia" w:eastAsia="宋体" w:cs="Times New Roman"/>
                <w:sz w:val="20"/>
                <w:szCs w:val="20"/>
              </w:rPr>
              <w:t>:</w:t>
            </w:r>
            <w:r>
              <w:rPr>
                <w:rFonts w:eastAsia="宋体" w:cs="Times New Roman"/>
                <w:sz w:val="20"/>
                <w:szCs w:val="20"/>
              </w:rPr>
              <w:t xml:space="preserve"> the T</w:t>
            </w:r>
            <w:r>
              <w:rPr>
                <w:rFonts w:eastAsia="宋体" w:cs="Times New Roman"/>
                <w:sz w:val="20"/>
                <w:szCs w:val="20"/>
                <w:vertAlign w:val="subscript"/>
              </w:rPr>
              <w:t>q_ATG</w:t>
            </w:r>
            <w:r>
              <w:rPr>
                <w:rFonts w:eastAsia="宋体" w:cs="Times New Roman"/>
                <w:sz w:val="20"/>
                <w:szCs w:val="20"/>
              </w:rPr>
              <w:t xml:space="preserve"> and T</w:t>
            </w:r>
            <w:r>
              <w:rPr>
                <w:rFonts w:eastAsia="宋体" w:cs="Times New Roman"/>
                <w:sz w:val="20"/>
                <w:szCs w:val="20"/>
                <w:vertAlign w:val="subscript"/>
              </w:rPr>
              <w:t>p_ATG</w:t>
            </w:r>
            <w:r>
              <w:rPr>
                <w:rFonts w:eastAsia="宋体" w:cs="Times New Roman"/>
                <w:sz w:val="20"/>
                <w:szCs w:val="20"/>
              </w:rPr>
              <w:t xml:space="preserve"> should be 5.5*64*Tc for all SCSs</w:t>
            </w:r>
          </w:p>
          <w:p>
            <w:pPr>
              <w:pStyle w:val="28"/>
              <w:numPr>
                <w:ilvl w:val="0"/>
                <w:numId w:val="4"/>
              </w:numPr>
              <w:spacing w:after="120"/>
              <w:ind w:hanging="357" w:firstLineChars="0"/>
              <w:rPr>
                <w:rFonts w:eastAsia="宋体" w:cs="Times New Roman"/>
                <w:sz w:val="20"/>
                <w:szCs w:val="20"/>
              </w:rPr>
            </w:pPr>
            <w:r>
              <w:rPr>
                <w:rFonts w:eastAsia="宋体" w:cs="Times New Roman"/>
                <w:sz w:val="20"/>
                <w:szCs w:val="20"/>
              </w:rPr>
              <w:t>Option 2: For ATG, the T</w:t>
            </w:r>
            <w:r>
              <w:rPr>
                <w:rFonts w:eastAsia="宋体" w:cs="Times New Roman"/>
                <w:sz w:val="20"/>
                <w:szCs w:val="20"/>
                <w:vertAlign w:val="subscript"/>
              </w:rPr>
              <w:t>q_ATG</w:t>
            </w:r>
            <w:r>
              <w:rPr>
                <w:rFonts w:eastAsia="宋体" w:cs="Times New Roman"/>
                <w:sz w:val="20"/>
                <w:szCs w:val="20"/>
              </w:rPr>
              <w:t xml:space="preserve"> and T</w:t>
            </w:r>
            <w:r>
              <w:rPr>
                <w:rFonts w:eastAsia="宋体" w:cs="Times New Roman"/>
                <w:sz w:val="20"/>
                <w:szCs w:val="20"/>
                <w:vertAlign w:val="subscript"/>
              </w:rPr>
              <w:t>p_ATG</w:t>
            </w:r>
            <w:r>
              <w:rPr>
                <w:rFonts w:eastAsia="宋体" w:cs="Times New Roman"/>
                <w:sz w:val="20"/>
                <w:szCs w:val="20"/>
              </w:rPr>
              <w:t xml:space="preserve"> should be 9.5*64*Tc in FR1 and UL SCS 15kHz and 30kHz SCS. </w:t>
            </w:r>
          </w:p>
          <w:p>
            <w:pPr>
              <w:pStyle w:val="28"/>
              <w:numPr>
                <w:ilvl w:val="0"/>
                <w:numId w:val="4"/>
              </w:numPr>
              <w:spacing w:after="120"/>
              <w:ind w:hanging="357" w:firstLineChars="0"/>
              <w:rPr>
                <w:rFonts w:eastAsia="宋体" w:cs="Times New Roman"/>
                <w:sz w:val="20"/>
                <w:szCs w:val="20"/>
              </w:rPr>
            </w:pPr>
            <w:r>
              <w:rPr>
                <w:rFonts w:hint="eastAsia" w:eastAsia="宋体" w:cs="Times New Roman"/>
                <w:sz w:val="20"/>
                <w:szCs w:val="20"/>
              </w:rPr>
              <w:t>Other options are not precluded.</w:t>
            </w:r>
          </w:p>
          <w:p>
            <w:pPr>
              <w:rPr>
                <w:b/>
                <w:sz w:val="20"/>
                <w:szCs w:val="20"/>
                <w:u w:val="single"/>
                <w:lang w:eastAsia="ko-KR"/>
              </w:rPr>
            </w:pPr>
            <w:r>
              <w:rPr>
                <w:b/>
                <w:sz w:val="20"/>
                <w:szCs w:val="20"/>
                <w:u w:val="single"/>
                <w:lang w:eastAsia="ko-KR"/>
              </w:rPr>
              <w:t>Issue 3-1-4: The reference point for the UE initial transmit timing control requirement and gradual timing adjustment requirement</w:t>
            </w:r>
          </w:p>
          <w:p>
            <w:pPr>
              <w:spacing w:after="60"/>
              <w:rPr>
                <w:rFonts w:eastAsiaTheme="minorEastAsia"/>
                <w:iCs/>
                <w:sz w:val="20"/>
                <w:szCs w:val="20"/>
              </w:rPr>
            </w:pPr>
            <w:r>
              <w:rPr>
                <w:rFonts w:hint="eastAsia" w:eastAsiaTheme="minorEastAsia"/>
                <w:iCs/>
                <w:sz w:val="20"/>
                <w:szCs w:val="20"/>
                <w:highlight w:val="green"/>
              </w:rPr>
              <w:t>Agreement</w:t>
            </w:r>
            <w:r>
              <w:rPr>
                <w:rFonts w:hint="eastAsia" w:eastAsiaTheme="minorEastAsia"/>
                <w:iCs/>
                <w:sz w:val="20"/>
                <w:szCs w:val="20"/>
              </w:rPr>
              <w:t>:</w:t>
            </w:r>
          </w:p>
          <w:p>
            <w:pPr>
              <w:pStyle w:val="28"/>
              <w:numPr>
                <w:ilvl w:val="0"/>
                <w:numId w:val="4"/>
              </w:numPr>
              <w:spacing w:after="120"/>
              <w:ind w:hanging="357" w:firstLineChars="0"/>
              <w:rPr>
                <w:rFonts w:eastAsia="Malgun Gothic"/>
                <w:bCs/>
                <w:sz w:val="20"/>
                <w:szCs w:val="20"/>
                <w:lang w:val="en-GB" w:eastAsia="ko-KR"/>
              </w:rPr>
            </w:pPr>
            <m:oMath>
              <m:sSub>
                <m:sSubPr>
                  <m:ctrlPr>
                    <w:rPr>
                      <w:rFonts w:ascii="Cambria Math" w:hAnsi="Cambria Math"/>
                      <w:bCs/>
                      <w:i/>
                      <w:sz w:val="20"/>
                      <w:szCs w:val="20"/>
                      <w:lang w:val="en-GB" w:eastAsia="ko-KR"/>
                    </w:rPr>
                  </m:ctrlPr>
                </m:sSubPr>
                <m:e>
                  <m:r>
                    <w:rPr>
                      <w:rFonts w:ascii="Cambria Math" w:hAnsi="Cambria Math"/>
                      <w:sz w:val="20"/>
                      <w:szCs w:val="20"/>
                      <w:lang w:val="en-GB" w:eastAsia="ko-KR"/>
                    </w:rPr>
                    <m:t>T</m:t>
                  </m:r>
                  <m:ctrlPr>
                    <w:rPr>
                      <w:rFonts w:ascii="Cambria Math" w:hAnsi="Cambria Math"/>
                      <w:bCs/>
                      <w:i/>
                      <w:sz w:val="20"/>
                      <w:szCs w:val="20"/>
                      <w:lang w:val="en-GB" w:eastAsia="ko-KR"/>
                    </w:rPr>
                  </m:ctrlPr>
                </m:e>
                <m:sub>
                  <m:r>
                    <m:rPr>
                      <m:nor/>
                      <m:sty m:val="p"/>
                    </m:rPr>
                    <w:rPr>
                      <w:rFonts w:eastAsia="Yu Mincho"/>
                      <w:b w:val="0"/>
                      <w:bCs/>
                      <w:i w:val="0"/>
                      <w:sz w:val="20"/>
                      <w:szCs w:val="20"/>
                      <w:lang w:val="sv-SE" w:eastAsia="ko-KR"/>
                    </w:rPr>
                    <m:t>TA</m:t>
                  </m:r>
                  <m:ctrlPr>
                    <w:rPr>
                      <w:rFonts w:ascii="Cambria Math" w:hAnsi="Cambria Math"/>
                      <w:bCs/>
                      <w:i/>
                      <w:sz w:val="20"/>
                      <w:szCs w:val="20"/>
                      <w:lang w:val="en-GB" w:eastAsia="ko-KR"/>
                    </w:rPr>
                  </m:ctrlPr>
                </m:sub>
              </m:sSub>
              <m:r>
                <w:rPr>
                  <w:rFonts w:ascii="Cambria Math" w:hAnsi="Cambria Math"/>
                  <w:sz w:val="20"/>
                  <w:szCs w:val="20"/>
                  <w:lang w:val="sv-SE" w:eastAsia="ko-KR"/>
                </w:rPr>
                <m:t>=</m:t>
              </m:r>
              <m:d>
                <m:dPr>
                  <m:ctrlPr>
                    <w:rPr>
                      <w:rFonts w:ascii="Cambria Math" w:hAnsi="Cambria Math"/>
                      <w:bCs/>
                      <w:i/>
                      <w:sz w:val="20"/>
                      <w:szCs w:val="20"/>
                      <w:lang w:val="en-GB" w:eastAsia="ko-KR"/>
                    </w:rPr>
                  </m:ctrlPr>
                </m:dPr>
                <m:e>
                  <m:sSub>
                    <m:sSubPr>
                      <m:ctrlPr>
                        <w:rPr>
                          <w:rFonts w:ascii="Cambria Math" w:hAnsi="Cambria Math"/>
                          <w:bCs/>
                          <w:i/>
                          <w:sz w:val="20"/>
                          <w:szCs w:val="20"/>
                          <w:lang w:val="en-GB" w:eastAsia="ko-KR"/>
                        </w:rPr>
                      </m:ctrlPr>
                    </m:sSubPr>
                    <m:e>
                      <m:r>
                        <w:rPr>
                          <w:rFonts w:ascii="Cambria Math" w:hAnsi="Cambria Math"/>
                          <w:sz w:val="20"/>
                          <w:szCs w:val="20"/>
                          <w:lang w:val="en-GB" w:eastAsia="ko-KR"/>
                        </w:rPr>
                        <m:t>N</m:t>
                      </m:r>
                      <m:ctrlPr>
                        <w:rPr>
                          <w:rFonts w:ascii="Cambria Math" w:hAnsi="Cambria Math"/>
                          <w:bCs/>
                          <w:i/>
                          <w:sz w:val="20"/>
                          <w:szCs w:val="20"/>
                          <w:lang w:val="en-GB" w:eastAsia="ko-KR"/>
                        </w:rPr>
                      </m:ctrlPr>
                    </m:e>
                    <m:sub>
                      <m:r>
                        <m:rPr>
                          <m:nor/>
                          <m:sty m:val="p"/>
                        </m:rPr>
                        <w:rPr>
                          <w:rFonts w:eastAsia="Yu Mincho"/>
                          <w:b w:val="0"/>
                          <w:bCs/>
                          <w:i w:val="0"/>
                          <w:sz w:val="20"/>
                          <w:szCs w:val="20"/>
                          <w:lang w:val="sv-SE" w:eastAsia="ko-KR"/>
                        </w:rPr>
                        <m:t>TA</m:t>
                      </m:r>
                      <m:ctrlPr>
                        <w:rPr>
                          <w:rFonts w:ascii="Cambria Math" w:hAnsi="Cambria Math"/>
                          <w:bCs/>
                          <w:i/>
                          <w:sz w:val="20"/>
                          <w:szCs w:val="20"/>
                          <w:lang w:val="en-GB" w:eastAsia="ko-KR"/>
                        </w:rPr>
                      </m:ctrlPr>
                    </m:sub>
                  </m:sSub>
                  <m:r>
                    <w:rPr>
                      <w:rFonts w:ascii="Cambria Math" w:hAnsi="Cambria Math"/>
                      <w:sz w:val="20"/>
                      <w:szCs w:val="20"/>
                      <w:lang w:val="sv-SE" w:eastAsia="ko-KR"/>
                    </w:rPr>
                    <m:t>+</m:t>
                  </m:r>
                  <m:sSub>
                    <m:sSubPr>
                      <m:ctrlPr>
                        <w:rPr>
                          <w:rFonts w:ascii="Cambria Math" w:hAnsi="Cambria Math"/>
                          <w:bCs/>
                          <w:i/>
                          <w:sz w:val="20"/>
                          <w:szCs w:val="20"/>
                          <w:lang w:val="en-GB" w:eastAsia="ko-KR"/>
                        </w:rPr>
                      </m:ctrlPr>
                    </m:sSubPr>
                    <m:e>
                      <m:r>
                        <w:rPr>
                          <w:rFonts w:ascii="Cambria Math" w:hAnsi="Cambria Math"/>
                          <w:sz w:val="20"/>
                          <w:szCs w:val="20"/>
                          <w:lang w:val="en-GB" w:eastAsia="ko-KR"/>
                        </w:rPr>
                        <m:t>N</m:t>
                      </m:r>
                      <m:ctrlPr>
                        <w:rPr>
                          <w:rFonts w:ascii="Cambria Math" w:hAnsi="Cambria Math"/>
                          <w:bCs/>
                          <w:i/>
                          <w:sz w:val="20"/>
                          <w:szCs w:val="20"/>
                          <w:lang w:val="en-GB" w:eastAsia="ko-KR"/>
                        </w:rPr>
                      </m:ctrlPr>
                    </m:e>
                    <m:sub>
                      <m:r>
                        <m:rPr>
                          <m:nor/>
                          <m:sty m:val="p"/>
                        </m:rPr>
                        <w:rPr>
                          <w:rFonts w:eastAsia="Yu Mincho"/>
                          <w:b w:val="0"/>
                          <w:bCs/>
                          <w:i w:val="0"/>
                          <w:sz w:val="20"/>
                          <w:szCs w:val="20"/>
                          <w:lang w:val="sv-SE" w:eastAsia="ko-KR"/>
                        </w:rPr>
                        <m:t>TA,offset</m:t>
                      </m:r>
                      <m:ctrlPr>
                        <w:rPr>
                          <w:rFonts w:ascii="Cambria Math" w:hAnsi="Cambria Math"/>
                          <w:bCs/>
                          <w:i/>
                          <w:sz w:val="20"/>
                          <w:szCs w:val="20"/>
                          <w:lang w:val="en-GB" w:eastAsia="ko-KR"/>
                        </w:rPr>
                      </m:ctrlPr>
                    </m:sub>
                  </m:sSub>
                  <m:r>
                    <w:rPr>
                      <w:rFonts w:ascii="Cambria Math" w:hAnsi="Cambria Math"/>
                      <w:sz w:val="20"/>
                      <w:szCs w:val="20"/>
                      <w:lang w:val="sv-SE" w:eastAsia="ko-KR"/>
                    </w:rPr>
                    <m:t>+</m:t>
                  </m:r>
                  <m:sSubSup>
                    <m:sSubSupPr>
                      <m:ctrlPr>
                        <w:rPr>
                          <w:rFonts w:ascii="Cambria Math" w:hAnsi="Cambria Math"/>
                          <w:bCs/>
                          <w:i/>
                          <w:sz w:val="20"/>
                          <w:szCs w:val="20"/>
                          <w:lang w:val="en-GB" w:eastAsia="ko-KR"/>
                        </w:rPr>
                      </m:ctrlPr>
                    </m:sSubSupPr>
                    <m:e>
                      <m:r>
                        <w:rPr>
                          <w:rFonts w:ascii="Cambria Math" w:hAnsi="Cambria Math"/>
                          <w:sz w:val="20"/>
                          <w:szCs w:val="20"/>
                          <w:lang w:val="en-GB" w:eastAsia="ko-KR"/>
                        </w:rPr>
                        <m:t>N</m:t>
                      </m:r>
                      <m:ctrlPr>
                        <w:rPr>
                          <w:rFonts w:ascii="Cambria Math" w:hAnsi="Cambria Math"/>
                          <w:bCs/>
                          <w:i/>
                          <w:sz w:val="20"/>
                          <w:szCs w:val="20"/>
                          <w:lang w:val="en-GB" w:eastAsia="ko-KR"/>
                        </w:rPr>
                      </m:ctrlPr>
                    </m:e>
                    <m:sub>
                      <m:r>
                        <m:rPr>
                          <m:nor/>
                          <m:sty m:val="p"/>
                        </m:rPr>
                        <w:rPr>
                          <w:rFonts w:eastAsia="Yu Mincho"/>
                          <w:b w:val="0"/>
                          <w:bCs/>
                          <w:i w:val="0"/>
                          <w:sz w:val="20"/>
                          <w:szCs w:val="20"/>
                          <w:lang w:val="sv-SE" w:eastAsia="ko-KR"/>
                        </w:rPr>
                        <m:t>TA,adj</m:t>
                      </m:r>
                      <m:ctrlPr>
                        <w:rPr>
                          <w:rFonts w:ascii="Cambria Math" w:hAnsi="Cambria Math"/>
                          <w:bCs/>
                          <w:i/>
                          <w:sz w:val="20"/>
                          <w:szCs w:val="20"/>
                          <w:lang w:val="en-GB" w:eastAsia="ko-KR"/>
                        </w:rPr>
                      </m:ctrlPr>
                    </m:sub>
                    <m:sup>
                      <m:r>
                        <m:rPr>
                          <m:nor/>
                          <m:sty m:val="p"/>
                        </m:rPr>
                        <w:rPr>
                          <w:rFonts w:eastAsia="Yu Mincho"/>
                          <w:b w:val="0"/>
                          <w:bCs/>
                          <w:i w:val="0"/>
                          <w:sz w:val="20"/>
                          <w:szCs w:val="20"/>
                          <w:lang w:val="sv-SE" w:eastAsia="ko-KR"/>
                        </w:rPr>
                        <m:t>UE</m:t>
                      </m:r>
                      <m:ctrlPr>
                        <w:rPr>
                          <w:rFonts w:ascii="Cambria Math" w:hAnsi="Cambria Math"/>
                          <w:bCs/>
                          <w:i/>
                          <w:sz w:val="20"/>
                          <w:szCs w:val="20"/>
                          <w:lang w:val="en-GB" w:eastAsia="ko-KR"/>
                        </w:rPr>
                      </m:ctrlPr>
                    </m:sup>
                  </m:sSubSup>
                  <m:ctrlPr>
                    <w:rPr>
                      <w:rFonts w:ascii="Cambria Math" w:hAnsi="Cambria Math"/>
                      <w:bCs/>
                      <w:i/>
                      <w:sz w:val="20"/>
                      <w:szCs w:val="20"/>
                      <w:lang w:val="en-GB" w:eastAsia="ko-KR"/>
                    </w:rPr>
                  </m:ctrlPr>
                </m:e>
              </m:d>
              <m:sSub>
                <m:sSubPr>
                  <m:ctrlPr>
                    <w:rPr>
                      <w:rFonts w:ascii="Cambria Math" w:hAnsi="Cambria Math"/>
                      <w:bCs/>
                      <w:i/>
                      <w:sz w:val="20"/>
                      <w:szCs w:val="20"/>
                      <w:lang w:val="en-GB" w:eastAsia="ko-KR"/>
                    </w:rPr>
                  </m:ctrlPr>
                </m:sSubPr>
                <m:e>
                  <m:r>
                    <w:rPr>
                      <w:rFonts w:ascii="Cambria Math" w:hAnsi="Cambria Math"/>
                      <w:sz w:val="20"/>
                      <w:szCs w:val="20"/>
                      <w:lang w:val="en-GB" w:eastAsia="ko-KR"/>
                    </w:rPr>
                    <m:t>T</m:t>
                  </m:r>
                  <m:ctrlPr>
                    <w:rPr>
                      <w:rFonts w:ascii="Cambria Math" w:hAnsi="Cambria Math"/>
                      <w:bCs/>
                      <w:i/>
                      <w:sz w:val="20"/>
                      <w:szCs w:val="20"/>
                      <w:lang w:val="en-GB" w:eastAsia="ko-KR"/>
                    </w:rPr>
                  </m:ctrlPr>
                </m:e>
                <m:sub>
                  <m:r>
                    <m:rPr>
                      <m:nor/>
                      <m:sty m:val="p"/>
                    </m:rPr>
                    <w:rPr>
                      <w:rFonts w:eastAsia="Yu Mincho"/>
                      <w:b w:val="0"/>
                      <w:bCs/>
                      <w:i w:val="0"/>
                      <w:sz w:val="20"/>
                      <w:szCs w:val="20"/>
                      <w:lang w:val="sv-SE" w:eastAsia="ko-KR"/>
                    </w:rPr>
                    <m:t>c</m:t>
                  </m:r>
                  <m:ctrlPr>
                    <w:rPr>
                      <w:rFonts w:ascii="Cambria Math" w:hAnsi="Cambria Math"/>
                      <w:bCs/>
                      <w:i/>
                      <w:sz w:val="20"/>
                      <w:szCs w:val="20"/>
                      <w:lang w:val="en-GB" w:eastAsia="ko-KR"/>
                    </w:rPr>
                  </m:ctrlPr>
                </m:sub>
              </m:sSub>
            </m:oMath>
          </w:p>
          <w:p>
            <w:pPr>
              <w:rPr>
                <w:rFonts w:eastAsia="Malgun Gothic"/>
                <w:b/>
                <w:sz w:val="20"/>
                <w:szCs w:val="20"/>
                <w:u w:val="single"/>
                <w:vertAlign w:val="subscript"/>
                <w:lang w:val="en-GB" w:eastAsia="ko-KR"/>
              </w:rPr>
            </w:pPr>
            <w:r>
              <w:rPr>
                <w:rFonts w:eastAsia="Malgun Gothic"/>
                <w:b/>
                <w:sz w:val="20"/>
                <w:szCs w:val="20"/>
                <w:u w:val="single"/>
                <w:lang w:val="en-GB" w:eastAsia="ko-KR"/>
              </w:rPr>
              <w:t>Issue 3-1-5: The mechanism of K</w:t>
            </w:r>
            <w:r>
              <w:rPr>
                <w:rFonts w:eastAsia="Malgun Gothic"/>
                <w:b/>
                <w:sz w:val="20"/>
                <w:szCs w:val="20"/>
                <w:u w:val="single"/>
                <w:vertAlign w:val="subscript"/>
                <w:lang w:val="en-GB" w:eastAsia="ko-KR"/>
              </w:rPr>
              <w:t>offset</w:t>
            </w:r>
          </w:p>
          <w:p>
            <w:pPr>
              <w:spacing w:after="60"/>
              <w:rPr>
                <w:rFonts w:eastAsiaTheme="minorEastAsia"/>
                <w:iCs/>
                <w:sz w:val="20"/>
                <w:szCs w:val="20"/>
              </w:rPr>
            </w:pPr>
            <w:r>
              <w:rPr>
                <w:rFonts w:eastAsiaTheme="minorEastAsia"/>
                <w:iCs/>
                <w:sz w:val="20"/>
                <w:szCs w:val="20"/>
                <w:highlight w:val="green"/>
              </w:rPr>
              <w:t>Agreement</w:t>
            </w:r>
          </w:p>
          <w:p>
            <w:pPr>
              <w:pStyle w:val="28"/>
              <w:numPr>
                <w:ilvl w:val="0"/>
                <w:numId w:val="4"/>
              </w:numPr>
              <w:spacing w:after="120"/>
              <w:ind w:hanging="357" w:firstLineChars="0"/>
              <w:rPr>
                <w:rFonts w:eastAsia="宋体" w:cs="Times New Roman"/>
                <w:sz w:val="20"/>
                <w:szCs w:val="20"/>
              </w:rPr>
            </w:pPr>
            <w:r>
              <w:rPr>
                <w:rFonts w:eastAsia="宋体" w:cs="Times New Roman"/>
                <w:sz w:val="20"/>
                <w:szCs w:val="20"/>
              </w:rPr>
              <w:t>Introduce the mechanism of K</w:t>
            </w:r>
            <w:r>
              <w:rPr>
                <w:rFonts w:eastAsia="宋体" w:cs="Times New Roman"/>
                <w:sz w:val="20"/>
                <w:szCs w:val="20"/>
                <w:vertAlign w:val="subscript"/>
              </w:rPr>
              <w:t>offset</w:t>
            </w:r>
            <w:r>
              <w:rPr>
                <w:rFonts w:eastAsia="宋体" w:cs="Times New Roman"/>
                <w:sz w:val="20"/>
                <w:szCs w:val="20"/>
              </w:rPr>
              <w:t xml:space="preserve"> in ATG system, whether and how to configure K</w:t>
            </w:r>
            <w:r>
              <w:rPr>
                <w:rFonts w:eastAsia="宋体" w:cs="Times New Roman"/>
                <w:sz w:val="20"/>
                <w:szCs w:val="20"/>
                <w:vertAlign w:val="subscript"/>
              </w:rPr>
              <w:t>offset</w:t>
            </w:r>
            <w:r>
              <w:rPr>
                <w:rFonts w:eastAsia="宋体" w:cs="Times New Roman"/>
                <w:sz w:val="20"/>
                <w:szCs w:val="20"/>
              </w:rPr>
              <w:t xml:space="preserve"> is up to network implementation.</w:t>
            </w:r>
          </w:p>
          <w:p>
            <w:pPr>
              <w:rPr>
                <w:rFonts w:eastAsia="Malgun Gothic"/>
                <w:b/>
                <w:sz w:val="20"/>
                <w:szCs w:val="20"/>
                <w:u w:val="single"/>
                <w:lang w:val="en-GB" w:eastAsia="ko-KR"/>
              </w:rPr>
            </w:pPr>
            <w:r>
              <w:rPr>
                <w:rFonts w:eastAsia="Malgun Gothic"/>
                <w:b/>
                <w:sz w:val="20"/>
                <w:szCs w:val="20"/>
                <w:u w:val="single"/>
                <w:lang w:val="en-GB" w:eastAsia="ko-KR"/>
              </w:rPr>
              <w:t>Issue 3-1-6: Timing advance adjustment delay requirement</w:t>
            </w:r>
          </w:p>
          <w:p>
            <w:pPr>
              <w:spacing w:after="60"/>
              <w:rPr>
                <w:rFonts w:eastAsiaTheme="minorEastAsia"/>
                <w:iCs/>
                <w:sz w:val="20"/>
                <w:szCs w:val="20"/>
              </w:rPr>
            </w:pPr>
            <w:r>
              <w:rPr>
                <w:rFonts w:hint="eastAsia" w:eastAsiaTheme="minorEastAsia"/>
                <w:iCs/>
                <w:sz w:val="20"/>
                <w:szCs w:val="20"/>
                <w:highlight w:val="green"/>
              </w:rPr>
              <w:t>Agreement</w:t>
            </w:r>
            <w:r>
              <w:rPr>
                <w:rFonts w:hint="eastAsia" w:eastAsiaTheme="minorEastAsia"/>
                <w:iCs/>
                <w:sz w:val="20"/>
                <w:szCs w:val="20"/>
              </w:rPr>
              <w:t xml:space="preserve">: </w:t>
            </w:r>
          </w:p>
          <w:p>
            <w:pPr>
              <w:pStyle w:val="28"/>
              <w:numPr>
                <w:ilvl w:val="0"/>
                <w:numId w:val="4"/>
              </w:numPr>
              <w:spacing w:after="120"/>
              <w:ind w:hanging="357" w:firstLineChars="0"/>
              <w:rPr>
                <w:rFonts w:eastAsia="宋体" w:cs="Times New Roman"/>
                <w:sz w:val="20"/>
                <w:szCs w:val="20"/>
              </w:rPr>
            </w:pPr>
            <w:r>
              <w:rPr>
                <w:rFonts w:eastAsia="宋体" w:cs="Times New Roman"/>
                <w:sz w:val="20"/>
                <w:szCs w:val="20"/>
              </w:rPr>
              <w:t>The k</w:t>
            </w:r>
            <w:r>
              <w:rPr>
                <w:rFonts w:eastAsia="宋体" w:cs="Times New Roman"/>
                <w:sz w:val="20"/>
                <w:szCs w:val="20"/>
                <w:vertAlign w:val="subscript"/>
              </w:rPr>
              <w:t>offset</w:t>
            </w:r>
            <w:r>
              <w:rPr>
                <w:rFonts w:eastAsia="宋体" w:cs="Times New Roman"/>
                <w:sz w:val="20"/>
                <w:szCs w:val="20"/>
              </w:rPr>
              <w:t xml:space="preserve"> mechanism need to be introduced into timing advance adjustment delay requirement.</w:t>
            </w:r>
          </w:p>
          <w:p>
            <w:pPr>
              <w:rPr>
                <w:rFonts w:eastAsia="Malgun Gothic"/>
                <w:b/>
                <w:sz w:val="20"/>
                <w:szCs w:val="20"/>
                <w:u w:val="single"/>
                <w:lang w:val="en-GB" w:eastAsia="ko-KR"/>
              </w:rPr>
            </w:pPr>
            <w:r>
              <w:rPr>
                <w:rFonts w:eastAsia="Malgun Gothic"/>
                <w:b/>
                <w:sz w:val="20"/>
                <w:szCs w:val="20"/>
                <w:u w:val="single"/>
                <w:lang w:val="en-GB" w:eastAsia="ko-KR"/>
              </w:rPr>
              <w:t xml:space="preserve">Issue 3-1-7: deriveSSB-IndexFromCell and deriveSSB-IndexFromCell-inter tolerance </w:t>
            </w:r>
          </w:p>
          <w:p>
            <w:pPr>
              <w:spacing w:after="60"/>
              <w:rPr>
                <w:rFonts w:eastAsiaTheme="minorEastAsia"/>
                <w:iCs/>
                <w:sz w:val="20"/>
                <w:szCs w:val="20"/>
              </w:rPr>
            </w:pPr>
            <w:r>
              <w:rPr>
                <w:rFonts w:hint="eastAsia" w:eastAsiaTheme="minorEastAsia"/>
                <w:iCs/>
                <w:sz w:val="20"/>
                <w:szCs w:val="20"/>
                <w:highlight w:val="green"/>
              </w:rPr>
              <w:t>Agreement</w:t>
            </w:r>
            <w:r>
              <w:rPr>
                <w:rFonts w:hint="eastAsia" w:eastAsiaTheme="minorEastAsia"/>
                <w:iCs/>
                <w:sz w:val="20"/>
                <w:szCs w:val="20"/>
              </w:rPr>
              <w:t>:</w:t>
            </w:r>
          </w:p>
          <w:p>
            <w:pPr>
              <w:pStyle w:val="28"/>
              <w:numPr>
                <w:ilvl w:val="0"/>
                <w:numId w:val="4"/>
              </w:numPr>
              <w:spacing w:after="120"/>
              <w:ind w:hanging="357" w:firstLineChars="0"/>
              <w:rPr>
                <w:rFonts w:eastAsia="宋体" w:cs="Times New Roman"/>
                <w:sz w:val="20"/>
                <w:szCs w:val="20"/>
              </w:rPr>
            </w:pPr>
            <w:r>
              <w:rPr>
                <w:rFonts w:eastAsia="宋体" w:cs="Times New Roman"/>
                <w:sz w:val="20"/>
                <w:szCs w:val="20"/>
              </w:rPr>
              <w:t>It is up to network to decide whether to enable ‘deriveSSB-IndexFromCell’ and ‘deriveSSB-IndexFromCell-inter’ or not based on DL SCS and ISD.</w:t>
            </w:r>
          </w:p>
          <w:p>
            <w:pPr>
              <w:pStyle w:val="28"/>
              <w:numPr>
                <w:ilvl w:val="0"/>
                <w:numId w:val="4"/>
              </w:numPr>
              <w:spacing w:after="120"/>
              <w:ind w:hanging="357" w:firstLineChars="0"/>
              <w:rPr>
                <w:rFonts w:hint="default"/>
                <w:b/>
                <w:sz w:val="20"/>
                <w:szCs w:val="20"/>
                <w:u w:val="single"/>
                <w:lang w:val="en-US" w:eastAsia="zh-CN"/>
              </w:rPr>
            </w:pPr>
            <w:r>
              <w:rPr>
                <w:rFonts w:eastAsia="宋体" w:cs="Times New Roman"/>
                <w:sz w:val="20"/>
                <w:szCs w:val="20"/>
              </w:rPr>
              <w:t>For ATG TDD deployment, ‘deriveSSB-IndexFromCell’ and/or ‘deriveSSB-IndexFromCell-inter’ are not always applicable</w:t>
            </w:r>
          </w:p>
          <w:p>
            <w:pPr>
              <w:pStyle w:val="28"/>
              <w:numPr>
                <w:ilvl w:val="0"/>
                <w:numId w:val="4"/>
              </w:numPr>
              <w:spacing w:after="120"/>
              <w:ind w:hanging="357" w:firstLineChars="0"/>
              <w:rPr>
                <w:rFonts w:hint="default"/>
                <w:b/>
                <w:sz w:val="20"/>
                <w:szCs w:val="20"/>
                <w:u w:val="single"/>
                <w:lang w:val="en-US" w:eastAsia="zh-CN"/>
              </w:rPr>
            </w:pPr>
            <w:r>
              <w:rPr>
                <w:rFonts w:eastAsia="宋体" w:cs="Times New Roman"/>
                <w:sz w:val="20"/>
                <w:szCs w:val="20"/>
              </w:rPr>
              <w:t>Further discuss whether assistance information is needed.</w:t>
            </w: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Multiple timing related issues has been identified in last meeting, large progress was achieved. In this document, we will provide some further analysis on the remaining issues around timing of ATG based on the characteristics of ATG scenario.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characteristics of ATG system, the following key points should be noted:</w:t>
      </w:r>
    </w:p>
    <w:p>
      <w:pPr>
        <w:numPr>
          <w:ilvl w:val="0"/>
          <w:numId w:val="5"/>
        </w:numPr>
        <w:ind w:left="420" w:leftChars="0" w:hanging="420" w:firstLineChars="0"/>
        <w:rPr>
          <w:rFonts w:hint="default"/>
          <w:lang w:val="en-US" w:eastAsia="zh-CN"/>
        </w:rPr>
      </w:pPr>
      <w:r>
        <w:rPr>
          <w:rFonts w:hint="eastAsia"/>
          <w:lang w:val="en-US" w:eastAsia="zh-CN"/>
        </w:rPr>
        <w:t>Extremely large ISD, e.g. about 100km to 200 km</w:t>
      </w:r>
    </w:p>
    <w:p>
      <w:pPr>
        <w:numPr>
          <w:ilvl w:val="0"/>
          <w:numId w:val="5"/>
        </w:numPr>
        <w:ind w:left="420" w:leftChars="0" w:hanging="420" w:firstLineChars="0"/>
        <w:rPr>
          <w:rFonts w:hint="default"/>
          <w:lang w:val="en-US" w:eastAsia="zh-CN"/>
        </w:rPr>
      </w:pPr>
      <w:r>
        <w:rPr>
          <w:rFonts w:hint="eastAsia"/>
          <w:lang w:val="en-US" w:eastAsia="zh-CN"/>
        </w:rPr>
        <w:t>Extremely high flight speed, e.g. up to 1200km/h</w:t>
      </w:r>
    </w:p>
    <w:p>
      <w:pPr>
        <w:numPr>
          <w:ilvl w:val="0"/>
          <w:numId w:val="5"/>
        </w:numPr>
        <w:ind w:left="420" w:leftChars="0" w:hanging="420" w:firstLineChars="0"/>
        <w:rPr>
          <w:rFonts w:hint="default"/>
          <w:lang w:val="en-US" w:eastAsia="zh-CN"/>
        </w:rPr>
      </w:pPr>
      <w:r>
        <w:rPr>
          <w:rFonts w:hint="eastAsia"/>
          <w:lang w:val="en-US" w:eastAsia="zh-CN"/>
        </w:rPr>
        <w:t>Utilizing same frequency for deploying both ATG and TN(terrestrial network), e.g. n1, n78, n79 -- So only focus on FR1</w:t>
      </w:r>
    </w:p>
    <w:p>
      <w:pPr>
        <w:numPr>
          <w:ilvl w:val="0"/>
          <w:numId w:val="5"/>
        </w:numPr>
        <w:ind w:left="420" w:leftChars="0" w:hanging="420" w:firstLineChars="0"/>
        <w:rPr>
          <w:rFonts w:hint="default"/>
          <w:lang w:val="en-US" w:eastAsia="zh-CN"/>
        </w:rPr>
      </w:pPr>
      <w:r>
        <w:rPr>
          <w:rFonts w:hint="eastAsia"/>
          <w:lang w:val="en-US" w:eastAsia="zh-CN"/>
        </w:rPr>
        <w:t>Much powerful on-board ATG terminal capacity</w:t>
      </w:r>
    </w:p>
    <w:p>
      <w:pPr>
        <w:numPr>
          <w:ilvl w:val="0"/>
          <w:numId w:val="5"/>
        </w:numPr>
        <w:ind w:left="420" w:leftChars="0" w:hanging="420" w:firstLineChars="0"/>
        <w:rPr>
          <w:rFonts w:hint="default"/>
          <w:lang w:val="en-US" w:eastAsia="zh-CN"/>
        </w:rPr>
      </w:pPr>
      <w:r>
        <w:rPr>
          <w:rFonts w:hint="eastAsia"/>
          <w:lang w:val="en-US" w:eastAsia="zh-CN"/>
        </w:rPr>
        <w:t>R18 only focuses on SA mode and single connectivity with operation in a single band. DC, FR2, inter-RAT are not applicable to ATG. CA is possible in future release depending on demands</w:t>
      </w:r>
    </w:p>
    <w:p>
      <w:pPr>
        <w:numPr>
          <w:ilvl w:val="0"/>
          <w:numId w:val="5"/>
        </w:numPr>
        <w:ind w:left="420" w:leftChars="0" w:hanging="420" w:firstLineChars="0"/>
        <w:rPr>
          <w:rFonts w:hint="default"/>
          <w:lang w:val="en-US" w:eastAsia="zh-CN"/>
        </w:rPr>
      </w:pPr>
      <w:r>
        <w:rPr>
          <w:rFonts w:hint="eastAsia"/>
          <w:lang w:val="en-US" w:eastAsia="zh-CN"/>
        </w:rPr>
        <w:t>Height of CPE: 3km--10km</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We provide our analysis for multiple RRM aspects given all the above key points of ATG system.</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Around all the timing requirements, the assumption of maximum distance between CPE and BS is the foundation of discussion. Here we cite the observations about this maximum distance in our another document</w:t>
      </w:r>
      <w:r>
        <w:rPr>
          <w:rFonts w:hint="eastAsia" w:eastAsia="宋体"/>
          <w:color w:val="auto"/>
          <w:sz w:val="20"/>
          <w:szCs w:val="20"/>
          <w:highlight w:val="none"/>
          <w:lang w:val="en-US" w:eastAsia="zh-CN"/>
        </w:rPr>
        <w:t>[2]</w:t>
      </w:r>
      <w:r>
        <w:rPr>
          <w:rFonts w:hint="eastAsia" w:eastAsia="宋体"/>
          <w:color w:val="auto"/>
          <w:sz w:val="20"/>
          <w:szCs w:val="20"/>
          <w:lang w:val="en-US" w:eastAsia="zh-CN"/>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numPr>
                <w:ilvl w:val="0"/>
                <w:numId w:val="0"/>
              </w:numPr>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Under the assumption of traditional TN deployment, considering the ISD of 100-200 km, the maximum distance between CPE and BS is 68-134 km or 58-115 km.</w:t>
            </w:r>
          </w:p>
          <w:p>
            <w:pPr>
              <w:pStyle w:val="4"/>
              <w:numPr>
                <w:ilvl w:val="0"/>
                <w:numId w:val="0"/>
              </w:numPr>
              <w:jc w:val="both"/>
              <w:rPr>
                <w:rFonts w:hint="default" w:eastAsia="宋体"/>
                <w:color w:val="auto"/>
                <w:sz w:val="20"/>
                <w:szCs w:val="20"/>
                <w:highlight w:val="none"/>
                <w:vertAlign w:val="baseline"/>
                <w:lang w:val="en-US" w:eastAsia="zh-CN"/>
              </w:rPr>
            </w:pPr>
            <w:r>
              <w:rPr>
                <w:rFonts w:hint="eastAsia" w:eastAsia="宋体" w:cs="Times New Roman"/>
                <w:b/>
                <w:bCs/>
                <w:color w:val="auto"/>
                <w:sz w:val="20"/>
                <w:szCs w:val="20"/>
                <w:highlight w:val="none"/>
                <w:lang w:val="en-US" w:eastAsia="zh-CN" w:bidi="ar-SA"/>
              </w:rPr>
              <w:t>Observation 2: Under the assumption of horizon beam coverage deployment, considering the ISD of 100-200 km, the maximum distance between CPE and BS is 120-220 km for non sub-array case and 150-250 km for sub-array case.</w:t>
            </w:r>
          </w:p>
        </w:tc>
      </w:tr>
    </w:tbl>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such observation, we can discuss from the following issues:</w:t>
      </w:r>
    </w:p>
    <w:p>
      <w:pPr>
        <w:pStyle w:val="4"/>
        <w:numPr>
          <w:ilvl w:val="0"/>
          <w:numId w:val="5"/>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How to identify the NW location information</w:t>
      </w:r>
    </w:p>
    <w:p>
      <w:pPr>
        <w:pStyle w:val="4"/>
        <w:numPr>
          <w:ilvl w:val="0"/>
          <w:numId w:val="5"/>
        </w:numPr>
        <w:ind w:left="420" w:leftChars="0" w:hanging="420" w:firstLineChars="0"/>
        <w:rPr>
          <w:rFonts w:hint="default" w:eastAsia="宋体"/>
          <w:color w:val="auto"/>
          <w:sz w:val="20"/>
          <w:szCs w:val="20"/>
          <w:highlight w:val="none"/>
          <w:lang w:val="en-US" w:eastAsia="zh-CN"/>
        </w:rPr>
      </w:pPr>
      <w:r>
        <w:rPr>
          <w:rFonts w:hint="default" w:eastAsia="宋体"/>
          <w:color w:val="auto"/>
          <w:sz w:val="20"/>
          <w:szCs w:val="20"/>
          <w:highlight w:val="none"/>
          <w:lang w:val="en-US" w:eastAsia="zh-CN"/>
        </w:rPr>
        <w:t>Initial transmit timing requirements Te</w:t>
      </w:r>
    </w:p>
    <w:p>
      <w:pPr>
        <w:pStyle w:val="4"/>
        <w:numPr>
          <w:ilvl w:val="0"/>
          <w:numId w:val="5"/>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Gradual timing adjustment</w:t>
      </w:r>
    </w:p>
    <w:p>
      <w:pPr>
        <w:pStyle w:val="4"/>
        <w:numPr>
          <w:ilvl w:val="0"/>
          <w:numId w:val="0"/>
        </w:numPr>
        <w:ind w:leftChars="0"/>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How to identify the NW location information</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So as to realize the UE based timing pre-compensation for ATG which has been approved to introduce in last meeting, UE needs to know the NW location, then based on the NW location and GNSS capability, UE can identify the exact OL TA to compensate the PRACH transmission timing and the legacy CL TA mechanism. So how to derive the NW location, which is important for the UE based timing pre-compensation mechanism.</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SIB19 has been introduced in R17 NTN so as to identify the NW location if the UE is accessing NR via NTN access. Here the SIB 19 can be used for ATG CPE to derive the exact value of timing pre-compensation adjustment. It is straightforward and feasible. </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The SIB 19 can be used for ATG CPE to identify the NW location so as to derive the exact value of timing pre-compensation adjustment. It is straightforward and feasible.</w:t>
      </w:r>
    </w:p>
    <w:p>
      <w:pPr>
        <w:pStyle w:val="4"/>
        <w:numPr>
          <w:ilvl w:val="0"/>
          <w:numId w:val="0"/>
        </w:numPr>
        <w:ind w:leftChars="0"/>
        <w:rPr>
          <w:rFonts w:hint="default" w:eastAsia="宋体"/>
          <w:color w:val="auto"/>
          <w:sz w:val="20"/>
          <w:szCs w:val="20"/>
          <w:lang w:val="en-US" w:eastAsia="zh-CN"/>
        </w:rPr>
      </w:pPr>
    </w:p>
    <w:p>
      <w:pPr>
        <w:pStyle w:val="4"/>
        <w:numPr>
          <w:ilvl w:val="0"/>
          <w:numId w:val="0"/>
        </w:numPr>
        <w:ind w:leftChars="0"/>
        <w:rPr>
          <w:rFonts w:hint="default" w:eastAsia="宋体"/>
          <w:color w:val="auto"/>
          <w:sz w:val="20"/>
          <w:szCs w:val="20"/>
          <w:highlight w:val="none"/>
          <w:u w:val="single"/>
          <w:lang w:val="en-US" w:eastAsia="zh-CN"/>
        </w:rPr>
      </w:pPr>
      <w:r>
        <w:rPr>
          <w:rFonts w:hint="default" w:eastAsia="宋体"/>
          <w:color w:val="auto"/>
          <w:sz w:val="20"/>
          <w:szCs w:val="20"/>
          <w:highlight w:val="none"/>
          <w:u w:val="single"/>
          <w:lang w:val="en-US" w:eastAsia="zh-CN"/>
        </w:rPr>
        <w:t>Initial transmit timing requirements Te</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Since additional UE based timing pre-compensation adjustment is approved to introduce, so the UE pre-compensation timing error within such additional timing adjustment should be considered in the determination of Te. During the discussion of Te, one related issue i.e. the GNSS accuracy is referred to. Companies have a common assumption of GNSS accuracy as 50 m for R17 NTN. While for the ATG CPE, since it is not the hand-held terminal, so advanced capability than NTN UE is expected, more accurate GNSS can be assumed for ATG CPE, such as 30 m. Based on such GNSS accuracy assumption, we do not prefer to reuse the requirement of Te in R17 NTN.   </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Companies have a common assumption of GNSS accuracy as 50 m for R17 NTN.</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Advanced capability of ATG CPE is expected compared with hand-held NTN terminal, so more accurate GNSS than 50 m can be assumed. Based on such GNSS accuracy assumption, we prefer not to reuse the UE initial transmit timing error requirement Te in R17 NTN.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Regarding to the exact Te for ATG CPE, on top of legacy R16 Te, additional UE pre-compensation timing error can be considered. So the UE initial transmit timing error requirements Te for ATG CPE can be derived by the legacy R16 UE initial transmit timing error requirements Te with adding the UE pre-compensation timing error.</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The UE initial transmit timing error requirements Te for ATG CPE can be derived by the legacy R16 UE initial transmit timing error requirements Te with adding the UE pre-compensation timing error.</w:t>
      </w:r>
    </w:p>
    <w:p>
      <w:pPr>
        <w:pStyle w:val="4"/>
        <w:numPr>
          <w:ilvl w:val="0"/>
          <w:numId w:val="0"/>
        </w:numPr>
        <w:ind w:leftChars="0"/>
        <w:rPr>
          <w:rFonts w:hint="default" w:eastAsia="宋体"/>
          <w:color w:val="auto"/>
          <w:sz w:val="20"/>
          <w:szCs w:val="20"/>
          <w:highlight w:val="none"/>
          <w:lang w:val="en-US" w:eastAsia="zh-CN"/>
        </w:rPr>
      </w:pPr>
    </w:p>
    <w:p>
      <w:pPr>
        <w:pStyle w:val="4"/>
        <w:numPr>
          <w:ilvl w:val="0"/>
          <w:numId w:val="0"/>
        </w:numPr>
        <w:ind w:leftChars="0"/>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Gradual timing adjustment</w:t>
      </w:r>
    </w:p>
    <w:p>
      <w:pPr>
        <w:pStyle w:val="4"/>
        <w:rPr>
          <w:rFonts w:hint="default"/>
          <w:lang w:val="en-US" w:eastAsia="zh-CN"/>
        </w:rPr>
      </w:pPr>
      <w:r>
        <w:rPr>
          <w:rFonts w:hint="eastAsia" w:eastAsia="宋体"/>
          <w:color w:val="auto"/>
          <w:sz w:val="20"/>
          <w:szCs w:val="20"/>
          <w:lang w:val="en-US" w:eastAsia="zh-CN"/>
        </w:rPr>
        <w:t>Regarding to this issue, the following options were captured in [1]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keepNext w:val="0"/>
              <w:keepLines w:val="0"/>
              <w:pageBreakBefore w:val="0"/>
              <w:widowControl w:val="0"/>
              <w:numPr>
                <w:ilvl w:val="0"/>
                <w:numId w:val="4"/>
              </w:numPr>
              <w:kinsoku/>
              <w:wordWrap/>
              <w:overflowPunct/>
              <w:topLinePunct w:val="0"/>
              <w:autoSpaceDE/>
              <w:autoSpaceDN/>
              <w:bidi w:val="0"/>
              <w:adjustRightInd/>
              <w:snapToGrid/>
              <w:spacing w:after="0" w:line="240" w:lineRule="auto"/>
              <w:ind w:hanging="357" w:firstLineChars="0"/>
              <w:textAlignment w:val="auto"/>
              <w:rPr>
                <w:rFonts w:eastAsia="宋体" w:cs="Times New Roman"/>
                <w:sz w:val="20"/>
                <w:szCs w:val="20"/>
              </w:rPr>
            </w:pPr>
            <w:r>
              <w:rPr>
                <w:rFonts w:eastAsia="宋体" w:cs="Times New Roman"/>
                <w:sz w:val="20"/>
                <w:szCs w:val="20"/>
              </w:rPr>
              <w:t>Option 1</w:t>
            </w:r>
            <w:r>
              <w:rPr>
                <w:rFonts w:hint="eastAsia" w:eastAsia="宋体" w:cs="Times New Roman"/>
                <w:sz w:val="20"/>
                <w:szCs w:val="20"/>
              </w:rPr>
              <w:t>:</w:t>
            </w:r>
            <w:r>
              <w:rPr>
                <w:rFonts w:eastAsia="宋体" w:cs="Times New Roman"/>
                <w:sz w:val="20"/>
                <w:szCs w:val="20"/>
              </w:rPr>
              <w:t xml:space="preserve"> the T</w:t>
            </w:r>
            <w:r>
              <w:rPr>
                <w:rFonts w:eastAsia="宋体" w:cs="Times New Roman"/>
                <w:sz w:val="20"/>
                <w:szCs w:val="20"/>
                <w:vertAlign w:val="subscript"/>
              </w:rPr>
              <w:t>q_ATG</w:t>
            </w:r>
            <w:r>
              <w:rPr>
                <w:rFonts w:eastAsia="宋体" w:cs="Times New Roman"/>
                <w:sz w:val="20"/>
                <w:szCs w:val="20"/>
              </w:rPr>
              <w:t xml:space="preserve"> and T</w:t>
            </w:r>
            <w:r>
              <w:rPr>
                <w:rFonts w:eastAsia="宋体" w:cs="Times New Roman"/>
                <w:sz w:val="20"/>
                <w:szCs w:val="20"/>
                <w:vertAlign w:val="subscript"/>
              </w:rPr>
              <w:t>p_ATG</w:t>
            </w:r>
            <w:r>
              <w:rPr>
                <w:rFonts w:eastAsia="宋体" w:cs="Times New Roman"/>
                <w:sz w:val="20"/>
                <w:szCs w:val="20"/>
              </w:rPr>
              <w:t xml:space="preserve"> should be 5.5*64*Tc for all SCSs</w:t>
            </w:r>
            <w:r>
              <w:rPr>
                <w:rFonts w:hint="eastAsia" w:eastAsia="宋体" w:cs="Times New Roman"/>
                <w:sz w:val="20"/>
                <w:szCs w:val="20"/>
                <w:lang w:val="en-US" w:eastAsia="zh-CN"/>
              </w:rPr>
              <w:t xml:space="preserve"> </w:t>
            </w:r>
          </w:p>
          <w:p>
            <w:pPr>
              <w:pStyle w:val="28"/>
              <w:keepNext w:val="0"/>
              <w:keepLines w:val="0"/>
              <w:pageBreakBefore w:val="0"/>
              <w:widowControl w:val="0"/>
              <w:numPr>
                <w:ilvl w:val="0"/>
                <w:numId w:val="4"/>
              </w:numPr>
              <w:kinsoku/>
              <w:wordWrap/>
              <w:overflowPunct/>
              <w:topLinePunct w:val="0"/>
              <w:autoSpaceDE/>
              <w:autoSpaceDN/>
              <w:bidi w:val="0"/>
              <w:adjustRightInd/>
              <w:snapToGrid/>
              <w:spacing w:after="0" w:line="240" w:lineRule="auto"/>
              <w:ind w:hanging="357" w:firstLineChars="0"/>
              <w:textAlignment w:val="auto"/>
              <w:rPr>
                <w:rFonts w:eastAsia="宋体" w:cs="Times New Roman"/>
                <w:sz w:val="20"/>
                <w:szCs w:val="20"/>
              </w:rPr>
            </w:pPr>
            <w:r>
              <w:rPr>
                <w:rFonts w:eastAsia="宋体" w:cs="Times New Roman"/>
                <w:sz w:val="20"/>
                <w:szCs w:val="20"/>
              </w:rPr>
              <w:t>Option 2: For ATG, the T</w:t>
            </w:r>
            <w:r>
              <w:rPr>
                <w:rFonts w:eastAsia="宋体" w:cs="Times New Roman"/>
                <w:sz w:val="20"/>
                <w:szCs w:val="20"/>
                <w:vertAlign w:val="subscript"/>
              </w:rPr>
              <w:t>q_ATG</w:t>
            </w:r>
            <w:r>
              <w:rPr>
                <w:rFonts w:eastAsia="宋体" w:cs="Times New Roman"/>
                <w:sz w:val="20"/>
                <w:szCs w:val="20"/>
              </w:rPr>
              <w:t xml:space="preserve"> and T</w:t>
            </w:r>
            <w:r>
              <w:rPr>
                <w:rFonts w:eastAsia="宋体" w:cs="Times New Roman"/>
                <w:sz w:val="20"/>
                <w:szCs w:val="20"/>
                <w:vertAlign w:val="subscript"/>
              </w:rPr>
              <w:t>p_ATG</w:t>
            </w:r>
            <w:r>
              <w:rPr>
                <w:rFonts w:eastAsia="宋体" w:cs="Times New Roman"/>
                <w:sz w:val="20"/>
                <w:szCs w:val="20"/>
              </w:rPr>
              <w:t xml:space="preserve"> should be 9.5*64*Tc in FR1 and UL SCS 15kHz and 30kHz SCS. </w:t>
            </w:r>
          </w:p>
          <w:p>
            <w:pPr>
              <w:pStyle w:val="28"/>
              <w:numPr>
                <w:ilvl w:val="0"/>
                <w:numId w:val="4"/>
              </w:numPr>
              <w:spacing w:after="120"/>
              <w:ind w:hanging="357" w:firstLineChars="0"/>
              <w:rPr>
                <w:rFonts w:hint="default"/>
                <w:vertAlign w:val="baseline"/>
                <w:lang w:val="en-US" w:eastAsia="zh-CN"/>
              </w:rPr>
            </w:pPr>
            <w:r>
              <w:rPr>
                <w:rFonts w:hint="eastAsia" w:eastAsia="宋体" w:cs="Times New Roman"/>
                <w:sz w:val="20"/>
                <w:szCs w:val="20"/>
              </w:rPr>
              <w:t>Other options are not precluded.</w:t>
            </w: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When determining the value of gradual timing adjustment Tp and Tq, at the high speed moving of up to 1200 km/h, the time drift due to frequency error per 200ms is 20 ns, and the time drift due to UE movement per 200ms is about 222 ns, so the most challenge of ATG scenario compared with the legacy case is the larger time drift due to high speed moving. If applying the gradual timing adjustment Tp and Tq to trace such larger time drift, the requirements of Tp/Tq need some enhancement to support ATG scenario. With the consideration of all these factors, Option 2 is more preferred than others.</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Due to high speed moving of up to 1200 km/h, a larger time drift is leaded to. For ATG, the Tq_ATG and Tp_ATG should be 9.5*64*Tc in FR1 and UL SCS 15kHz and 30kHz SCS.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spacing w:before="156" w:beforeLines="50"/>
        <w:rPr>
          <w:rFonts w:hint="eastAsia" w:eastAsia="宋体"/>
          <w:color w:val="auto"/>
          <w:sz w:val="20"/>
          <w:szCs w:val="20"/>
          <w:lang w:val="en-GB" w:eastAsia="zh-CN"/>
        </w:rPr>
      </w:pPr>
      <w:r>
        <w:rPr>
          <w:rFonts w:hint="eastAsia" w:eastAsia="宋体"/>
          <w:color w:val="auto"/>
          <w:sz w:val="20"/>
          <w:szCs w:val="20"/>
          <w:lang w:val="en-GB" w:eastAsia="zh-CN"/>
        </w:rPr>
        <w:t xml:space="preserve">In this </w:t>
      </w:r>
      <w:r>
        <w:rPr>
          <w:rFonts w:hint="eastAsia" w:eastAsia="宋体"/>
          <w:color w:val="auto"/>
          <w:sz w:val="20"/>
          <w:szCs w:val="20"/>
          <w:lang w:val="en-US" w:eastAsia="zh-CN"/>
        </w:rPr>
        <w:t>contribution</w:t>
      </w:r>
      <w:r>
        <w:rPr>
          <w:rFonts w:hint="eastAsia" w:eastAsia="宋体"/>
          <w:color w:val="auto"/>
          <w:sz w:val="20"/>
          <w:szCs w:val="20"/>
          <w:lang w:val="en-GB" w:eastAsia="zh-CN"/>
        </w:rPr>
        <w:t>, we have the following proposals</w:t>
      </w:r>
      <w:r>
        <w:rPr>
          <w:rFonts w:hint="eastAsia" w:eastAsia="宋体"/>
          <w:color w:val="auto"/>
          <w:sz w:val="20"/>
          <w:szCs w:val="20"/>
          <w:lang w:val="en-US" w:eastAsia="zh-CN"/>
        </w:rPr>
        <w:t xml:space="preserve"> </w:t>
      </w:r>
      <w:r>
        <w:rPr>
          <w:rFonts w:hint="eastAsia" w:eastAsia="宋体"/>
          <w:color w:val="auto"/>
          <w:sz w:val="20"/>
          <w:szCs w:val="20"/>
          <w:lang w:val="en-GB" w:eastAsia="zh-CN"/>
        </w:rPr>
        <w:t xml:space="preserve">for </w:t>
      </w:r>
      <w:r>
        <w:rPr>
          <w:rFonts w:hint="eastAsia" w:eastAsia="宋体"/>
          <w:color w:val="auto"/>
          <w:sz w:val="20"/>
          <w:szCs w:val="20"/>
          <w:lang w:val="en-US" w:eastAsia="zh-CN"/>
        </w:rPr>
        <w:t>the consideration of timing adjustment aspects for ATG system</w:t>
      </w:r>
      <w:r>
        <w:rPr>
          <w:rFonts w:hint="eastAsia" w:eastAsia="宋体"/>
          <w:color w:val="auto"/>
          <w:sz w:val="20"/>
          <w:szCs w:val="20"/>
          <w:lang w:val="en-GB" w:eastAsia="zh-CN"/>
        </w:rPr>
        <w: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The SIB 19 can be used for ATG CPE to identify the NW location so as to derive the exact value of timing pre-compensation adjustment. It is straightforward and feasible.</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Companies have a common assumption of GNSS accuracy as 50 m for R17 NTN.</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Advanced capability of ATG CPE is expected compared with hand-held NTN terminal, so more accurate GNSS than 50 m can be assumed. Based on such GNSS accuracy assumption, we prefer not to reuse the UE initial transmit timing error requirement Te in R17 NTN.</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The UE initial transmit timing error requirements Te for ATG CPE can be derived by the legacy R16 UE initial transmit timing error requirements Te with adding the UE pre-compensation timing error.</w:t>
      </w:r>
    </w:p>
    <w:p>
      <w:pPr>
        <w:pStyle w:val="4"/>
        <w:rPr>
          <w:rFonts w:hint="eastAsia" w:eastAsia="宋体"/>
          <w:color w:val="auto"/>
          <w:sz w:val="20"/>
          <w:szCs w:val="20"/>
          <w:lang w:val="en-GB" w:eastAsia="zh-CN"/>
        </w:rPr>
      </w:pPr>
      <w:r>
        <w:rPr>
          <w:rFonts w:hint="eastAsia" w:eastAsia="宋体" w:cs="Times New Roman"/>
          <w:b/>
          <w:bCs/>
          <w:color w:val="auto"/>
          <w:sz w:val="20"/>
          <w:szCs w:val="20"/>
          <w:highlight w:val="none"/>
          <w:lang w:val="en-US" w:eastAsia="zh-CN" w:bidi="ar-SA"/>
        </w:rPr>
        <w:t>Proposal 4: Due to high speed moving of up to 1200 km/h, a larger time drift is leaded to.</w:t>
      </w:r>
      <w:bookmarkStart w:id="1" w:name="_GoBack"/>
      <w:bookmarkEnd w:id="1"/>
      <w:r>
        <w:rPr>
          <w:rFonts w:hint="eastAsia" w:eastAsia="宋体" w:cs="Times New Roman"/>
          <w:b/>
          <w:bCs/>
          <w:color w:val="auto"/>
          <w:sz w:val="20"/>
          <w:szCs w:val="20"/>
          <w:highlight w:val="none"/>
          <w:lang w:val="en-US" w:eastAsia="zh-CN" w:bidi="ar-SA"/>
        </w:rPr>
        <w:t xml:space="preserve"> For ATG, the Tq_ATG and Tp_ATG should be 9.5*64*Tc in FR1 and UL SCS 15kHz and 30kHz SCS.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6"/>
        </w:numPr>
        <w:ind w:left="0" w:leftChars="0" w:firstLine="0" w:firstLineChars="0"/>
        <w:rPr>
          <w:rFonts w:hint="default" w:eastAsia="宋体"/>
          <w:color w:val="auto"/>
          <w:lang w:val="en-US" w:eastAsia="zh-CN"/>
        </w:rPr>
      </w:pPr>
      <w:r>
        <w:rPr>
          <w:rFonts w:hint="eastAsia"/>
          <w:color w:val="auto"/>
          <w:lang w:val="en-US" w:eastAsia="zh-CN"/>
        </w:rPr>
        <w:t xml:space="preserve">R4-2303226 </w:t>
      </w:r>
      <w:r>
        <w:rPr>
          <w:rFonts w:hint="default"/>
          <w:color w:val="auto"/>
          <w:lang w:val="en-US" w:eastAsia="zh-CN"/>
        </w:rPr>
        <w:t>“</w:t>
      </w:r>
      <w:bookmarkStart w:id="0" w:name="_Hlk41145953"/>
      <w:r>
        <w:rPr>
          <w:rFonts w:hint="default"/>
          <w:color w:val="auto"/>
          <w:lang w:val="en-US" w:eastAsia="zh-CN"/>
        </w:rPr>
        <w:t>WF on NR ATG RRM</w:t>
      </w:r>
      <w:bookmarkEnd w:id="0"/>
      <w:r>
        <w:rPr>
          <w:rFonts w:hint="default"/>
          <w:color w:val="auto"/>
          <w:lang w:val="en-US" w:eastAsia="zh-CN"/>
        </w:rPr>
        <w:t xml:space="preserve"> requirements”</w:t>
      </w:r>
      <w:r>
        <w:rPr>
          <w:rFonts w:hint="eastAsia"/>
          <w:color w:val="auto"/>
          <w:lang w:val="en-US" w:eastAsia="zh-CN"/>
        </w:rPr>
        <w:t>, CMCC</w:t>
      </w:r>
    </w:p>
    <w:p>
      <w:pPr>
        <w:pStyle w:val="9"/>
        <w:numPr>
          <w:ilvl w:val="0"/>
          <w:numId w:val="6"/>
        </w:numPr>
        <w:ind w:left="0" w:leftChars="0" w:firstLine="0" w:firstLineChars="0"/>
        <w:rPr>
          <w:rFonts w:hint="default"/>
          <w:color w:val="auto"/>
          <w:lang w:val="en-US" w:eastAsia="zh-CN"/>
        </w:rPr>
      </w:pPr>
      <w:r>
        <w:rPr>
          <w:rFonts w:hint="eastAsia"/>
          <w:color w:val="auto"/>
          <w:lang w:val="en-US" w:eastAsia="zh-CN"/>
        </w:rPr>
        <w:t xml:space="preserve">R4-2304983 </w:t>
      </w:r>
      <w:r>
        <w:rPr>
          <w:rFonts w:hint="default"/>
          <w:color w:val="auto"/>
          <w:lang w:val="en-US" w:eastAsia="zh-CN"/>
        </w:rPr>
        <w:t>“</w:t>
      </w:r>
      <w:r>
        <w:rPr>
          <w:rFonts w:hint="eastAsia"/>
          <w:color w:val="auto"/>
          <w:lang w:val="en-US" w:eastAsia="zh-CN"/>
        </w:rPr>
        <w:t>Discussion on general aspects for air-to-ground network for NR</w:t>
      </w:r>
      <w:r>
        <w:rPr>
          <w:rFonts w:hint="default"/>
          <w:color w:val="auto"/>
          <w:lang w:val="en-US" w:eastAsia="zh-CN"/>
        </w:rPr>
        <w:t>”</w:t>
      </w:r>
      <w:r>
        <w:rPr>
          <w:rFonts w:hint="eastAsia"/>
          <w:color w:val="auto"/>
          <w:lang w:val="en-US" w:eastAsia="zh-CN"/>
        </w:rPr>
        <w:t>, ZTE</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E50CD3B"/>
    <w:multiLevelType w:val="singleLevel"/>
    <w:tmpl w:val="3E50CD3B"/>
    <w:lvl w:ilvl="0" w:tentative="0">
      <w:start w:val="1"/>
      <w:numFmt w:val="bullet"/>
      <w:lvlText w:val=""/>
      <w:lvlJc w:val="left"/>
      <w:pPr>
        <w:ind w:left="420" w:hanging="420"/>
      </w:pPr>
      <w:rPr>
        <w:rFonts w:hint="default" w:ascii="Wingdings" w:hAnsi="Wingdings"/>
      </w:rPr>
    </w:lvl>
  </w:abstractNum>
  <w:abstractNum w:abstractNumId="3">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5">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D7616"/>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5317828"/>
    <w:rsid w:val="05477E90"/>
    <w:rsid w:val="05BB5AB9"/>
    <w:rsid w:val="05C42923"/>
    <w:rsid w:val="06226EA6"/>
    <w:rsid w:val="06401641"/>
    <w:rsid w:val="06963BA6"/>
    <w:rsid w:val="07CD3CDD"/>
    <w:rsid w:val="083E6EA0"/>
    <w:rsid w:val="0855671D"/>
    <w:rsid w:val="089009EB"/>
    <w:rsid w:val="08EA2407"/>
    <w:rsid w:val="09716BCA"/>
    <w:rsid w:val="099E0FAE"/>
    <w:rsid w:val="09D64B23"/>
    <w:rsid w:val="09E644B8"/>
    <w:rsid w:val="0A1C7F03"/>
    <w:rsid w:val="0A867423"/>
    <w:rsid w:val="0AB155C2"/>
    <w:rsid w:val="0B12013A"/>
    <w:rsid w:val="0B3D3C2F"/>
    <w:rsid w:val="0BB0429A"/>
    <w:rsid w:val="0BDD6CEC"/>
    <w:rsid w:val="0BFF5FC6"/>
    <w:rsid w:val="0C394019"/>
    <w:rsid w:val="0CD05342"/>
    <w:rsid w:val="0CDB4E5B"/>
    <w:rsid w:val="0CF11916"/>
    <w:rsid w:val="0D3024B8"/>
    <w:rsid w:val="0D5201AB"/>
    <w:rsid w:val="0DEE745F"/>
    <w:rsid w:val="0E2007EA"/>
    <w:rsid w:val="0F9D01A4"/>
    <w:rsid w:val="0FAD3D1E"/>
    <w:rsid w:val="10207CA1"/>
    <w:rsid w:val="102263EF"/>
    <w:rsid w:val="10997F43"/>
    <w:rsid w:val="10DE7BAE"/>
    <w:rsid w:val="120774A3"/>
    <w:rsid w:val="12887761"/>
    <w:rsid w:val="14006D19"/>
    <w:rsid w:val="1481754F"/>
    <w:rsid w:val="148F32AB"/>
    <w:rsid w:val="148F5721"/>
    <w:rsid w:val="14AC57CD"/>
    <w:rsid w:val="15ED3E9B"/>
    <w:rsid w:val="164514BE"/>
    <w:rsid w:val="166B2EA9"/>
    <w:rsid w:val="16E73296"/>
    <w:rsid w:val="170F06AA"/>
    <w:rsid w:val="17225508"/>
    <w:rsid w:val="17B07FBC"/>
    <w:rsid w:val="180A6E32"/>
    <w:rsid w:val="183F2CD2"/>
    <w:rsid w:val="1856323E"/>
    <w:rsid w:val="185D2497"/>
    <w:rsid w:val="18AF55E3"/>
    <w:rsid w:val="18B077E2"/>
    <w:rsid w:val="18B1519A"/>
    <w:rsid w:val="18CD0507"/>
    <w:rsid w:val="18E471EF"/>
    <w:rsid w:val="18F36BA5"/>
    <w:rsid w:val="192558B8"/>
    <w:rsid w:val="195D7D48"/>
    <w:rsid w:val="1AD01A1B"/>
    <w:rsid w:val="1B61065A"/>
    <w:rsid w:val="1BBF3927"/>
    <w:rsid w:val="1BE40118"/>
    <w:rsid w:val="1C177B08"/>
    <w:rsid w:val="1C9001C6"/>
    <w:rsid w:val="1CBA2101"/>
    <w:rsid w:val="1D0573D7"/>
    <w:rsid w:val="1D153DC4"/>
    <w:rsid w:val="1D223E0B"/>
    <w:rsid w:val="1D317C9F"/>
    <w:rsid w:val="1E132F88"/>
    <w:rsid w:val="1E2867E9"/>
    <w:rsid w:val="1E853F6F"/>
    <w:rsid w:val="1E9C7BCC"/>
    <w:rsid w:val="1ECC1E3C"/>
    <w:rsid w:val="208364FC"/>
    <w:rsid w:val="208953F9"/>
    <w:rsid w:val="20AA18E5"/>
    <w:rsid w:val="21014C39"/>
    <w:rsid w:val="21244EB1"/>
    <w:rsid w:val="213964D8"/>
    <w:rsid w:val="21595D04"/>
    <w:rsid w:val="21774630"/>
    <w:rsid w:val="21F13629"/>
    <w:rsid w:val="21F81584"/>
    <w:rsid w:val="223236B6"/>
    <w:rsid w:val="2255462C"/>
    <w:rsid w:val="2305377E"/>
    <w:rsid w:val="23901822"/>
    <w:rsid w:val="24122135"/>
    <w:rsid w:val="24D4257E"/>
    <w:rsid w:val="24DF00B0"/>
    <w:rsid w:val="2572202B"/>
    <w:rsid w:val="258B7C43"/>
    <w:rsid w:val="25B00E1B"/>
    <w:rsid w:val="25B643F9"/>
    <w:rsid w:val="2605683C"/>
    <w:rsid w:val="268167CC"/>
    <w:rsid w:val="26BB1419"/>
    <w:rsid w:val="27B748AA"/>
    <w:rsid w:val="27CB4CB9"/>
    <w:rsid w:val="281B0617"/>
    <w:rsid w:val="281C2F58"/>
    <w:rsid w:val="282E010A"/>
    <w:rsid w:val="29642C4B"/>
    <w:rsid w:val="2A34628C"/>
    <w:rsid w:val="2A3B006D"/>
    <w:rsid w:val="2A724D05"/>
    <w:rsid w:val="2A7E505C"/>
    <w:rsid w:val="2AC85686"/>
    <w:rsid w:val="2AD04B5F"/>
    <w:rsid w:val="2AF443E5"/>
    <w:rsid w:val="2B8A3934"/>
    <w:rsid w:val="2BC05B2C"/>
    <w:rsid w:val="2BD617C5"/>
    <w:rsid w:val="2C112837"/>
    <w:rsid w:val="2C9B1252"/>
    <w:rsid w:val="2C9C2786"/>
    <w:rsid w:val="2CC13667"/>
    <w:rsid w:val="2D794401"/>
    <w:rsid w:val="2DF1167C"/>
    <w:rsid w:val="2E014790"/>
    <w:rsid w:val="2EE77680"/>
    <w:rsid w:val="2F2F0FC8"/>
    <w:rsid w:val="2FA70460"/>
    <w:rsid w:val="301C6BB6"/>
    <w:rsid w:val="30F11994"/>
    <w:rsid w:val="319708F2"/>
    <w:rsid w:val="31A8260E"/>
    <w:rsid w:val="31B14C9E"/>
    <w:rsid w:val="332B149D"/>
    <w:rsid w:val="33C522D7"/>
    <w:rsid w:val="344C156B"/>
    <w:rsid w:val="34807672"/>
    <w:rsid w:val="35B06C6A"/>
    <w:rsid w:val="366149EB"/>
    <w:rsid w:val="36941AA2"/>
    <w:rsid w:val="36D37423"/>
    <w:rsid w:val="37210963"/>
    <w:rsid w:val="379D23F9"/>
    <w:rsid w:val="388B255E"/>
    <w:rsid w:val="396B32D2"/>
    <w:rsid w:val="3A185287"/>
    <w:rsid w:val="3A1F46B8"/>
    <w:rsid w:val="3A692CD0"/>
    <w:rsid w:val="3AAE4AA7"/>
    <w:rsid w:val="3AF23299"/>
    <w:rsid w:val="3B270929"/>
    <w:rsid w:val="3B3D5571"/>
    <w:rsid w:val="3B673620"/>
    <w:rsid w:val="3B9A1F29"/>
    <w:rsid w:val="3BF631F5"/>
    <w:rsid w:val="3C765285"/>
    <w:rsid w:val="3CE4646B"/>
    <w:rsid w:val="3CFC1228"/>
    <w:rsid w:val="3D14125D"/>
    <w:rsid w:val="3D5E7AA8"/>
    <w:rsid w:val="3D6F2596"/>
    <w:rsid w:val="3D946587"/>
    <w:rsid w:val="3E5F0ACE"/>
    <w:rsid w:val="3F85798B"/>
    <w:rsid w:val="405F175E"/>
    <w:rsid w:val="40C765F3"/>
    <w:rsid w:val="40FE7215"/>
    <w:rsid w:val="42F869D2"/>
    <w:rsid w:val="43553536"/>
    <w:rsid w:val="44972678"/>
    <w:rsid w:val="451632B9"/>
    <w:rsid w:val="45262990"/>
    <w:rsid w:val="45906394"/>
    <w:rsid w:val="45B415CB"/>
    <w:rsid w:val="45F60A50"/>
    <w:rsid w:val="46142D0C"/>
    <w:rsid w:val="46263A53"/>
    <w:rsid w:val="46970A81"/>
    <w:rsid w:val="46B036BF"/>
    <w:rsid w:val="46CC320F"/>
    <w:rsid w:val="47282363"/>
    <w:rsid w:val="472C785C"/>
    <w:rsid w:val="47810C98"/>
    <w:rsid w:val="47924F0A"/>
    <w:rsid w:val="47D2373B"/>
    <w:rsid w:val="48432631"/>
    <w:rsid w:val="48F407FD"/>
    <w:rsid w:val="49DC4EAC"/>
    <w:rsid w:val="49E55BC5"/>
    <w:rsid w:val="4A5D0BB5"/>
    <w:rsid w:val="4A912B7F"/>
    <w:rsid w:val="4B600E77"/>
    <w:rsid w:val="4B8F684D"/>
    <w:rsid w:val="4BF02011"/>
    <w:rsid w:val="4C1C63D6"/>
    <w:rsid w:val="4C2775C3"/>
    <w:rsid w:val="4C2D52ED"/>
    <w:rsid w:val="4C4B2837"/>
    <w:rsid w:val="4C864A35"/>
    <w:rsid w:val="4D207A05"/>
    <w:rsid w:val="4D53283E"/>
    <w:rsid w:val="4DA11BF2"/>
    <w:rsid w:val="4E015C76"/>
    <w:rsid w:val="4E310026"/>
    <w:rsid w:val="4E4A2325"/>
    <w:rsid w:val="4E9E6ADA"/>
    <w:rsid w:val="4FC7362A"/>
    <w:rsid w:val="501A6C55"/>
    <w:rsid w:val="50E6713C"/>
    <w:rsid w:val="51522B0F"/>
    <w:rsid w:val="515B1740"/>
    <w:rsid w:val="51B14BED"/>
    <w:rsid w:val="52526454"/>
    <w:rsid w:val="525C1CEF"/>
    <w:rsid w:val="528B5767"/>
    <w:rsid w:val="52D33625"/>
    <w:rsid w:val="534273EB"/>
    <w:rsid w:val="53A3105E"/>
    <w:rsid w:val="53C64B93"/>
    <w:rsid w:val="53C65BDB"/>
    <w:rsid w:val="548A6C60"/>
    <w:rsid w:val="55B1164D"/>
    <w:rsid w:val="55B4735E"/>
    <w:rsid w:val="55BB221D"/>
    <w:rsid w:val="56371459"/>
    <w:rsid w:val="56484633"/>
    <w:rsid w:val="57FF4799"/>
    <w:rsid w:val="58D0053D"/>
    <w:rsid w:val="59165279"/>
    <w:rsid w:val="595A2A3C"/>
    <w:rsid w:val="598C40A0"/>
    <w:rsid w:val="59DA647E"/>
    <w:rsid w:val="5A556E1A"/>
    <w:rsid w:val="5BA06278"/>
    <w:rsid w:val="5BF92FF2"/>
    <w:rsid w:val="5C924E81"/>
    <w:rsid w:val="5E2864D0"/>
    <w:rsid w:val="5E494511"/>
    <w:rsid w:val="5EB44FC0"/>
    <w:rsid w:val="5F5D3CFF"/>
    <w:rsid w:val="5FBA395F"/>
    <w:rsid w:val="60094E5C"/>
    <w:rsid w:val="606F38F4"/>
    <w:rsid w:val="60EC2CBA"/>
    <w:rsid w:val="61CC2D28"/>
    <w:rsid w:val="63431026"/>
    <w:rsid w:val="635902CD"/>
    <w:rsid w:val="64706BBE"/>
    <w:rsid w:val="64F2095B"/>
    <w:rsid w:val="65A16A49"/>
    <w:rsid w:val="662F3E67"/>
    <w:rsid w:val="674E154D"/>
    <w:rsid w:val="67A858DB"/>
    <w:rsid w:val="67FE4166"/>
    <w:rsid w:val="684A154D"/>
    <w:rsid w:val="688E0EBE"/>
    <w:rsid w:val="68C401C3"/>
    <w:rsid w:val="69A833BD"/>
    <w:rsid w:val="69EF6835"/>
    <w:rsid w:val="6BD10CF1"/>
    <w:rsid w:val="6D566F0F"/>
    <w:rsid w:val="6D836F72"/>
    <w:rsid w:val="6DDE3DAF"/>
    <w:rsid w:val="6E3241BE"/>
    <w:rsid w:val="6EB97A9D"/>
    <w:rsid w:val="6EEC187D"/>
    <w:rsid w:val="6EF10A90"/>
    <w:rsid w:val="6EFC7DED"/>
    <w:rsid w:val="6F077DB2"/>
    <w:rsid w:val="6F2A7FBF"/>
    <w:rsid w:val="6FEB76BE"/>
    <w:rsid w:val="6FFF1868"/>
    <w:rsid w:val="70025DE4"/>
    <w:rsid w:val="715F4C2D"/>
    <w:rsid w:val="722F78FB"/>
    <w:rsid w:val="723C2F8E"/>
    <w:rsid w:val="723D67C5"/>
    <w:rsid w:val="726A5F44"/>
    <w:rsid w:val="72793AC9"/>
    <w:rsid w:val="72BF60CA"/>
    <w:rsid w:val="72F41282"/>
    <w:rsid w:val="733D0D32"/>
    <w:rsid w:val="73B76769"/>
    <w:rsid w:val="73D411F1"/>
    <w:rsid w:val="748C4434"/>
    <w:rsid w:val="74A356B2"/>
    <w:rsid w:val="753811DE"/>
    <w:rsid w:val="75BE67D4"/>
    <w:rsid w:val="75C2004C"/>
    <w:rsid w:val="75C759C1"/>
    <w:rsid w:val="76281B03"/>
    <w:rsid w:val="762D64F3"/>
    <w:rsid w:val="762E20AD"/>
    <w:rsid w:val="767E7EFF"/>
    <w:rsid w:val="775B4604"/>
    <w:rsid w:val="77C067C3"/>
    <w:rsid w:val="77E23494"/>
    <w:rsid w:val="77FC6F68"/>
    <w:rsid w:val="78074939"/>
    <w:rsid w:val="78911E31"/>
    <w:rsid w:val="78F9732D"/>
    <w:rsid w:val="7922350F"/>
    <w:rsid w:val="792B5470"/>
    <w:rsid w:val="7A9367CB"/>
    <w:rsid w:val="7AF22571"/>
    <w:rsid w:val="7B0720CF"/>
    <w:rsid w:val="7B4C0E47"/>
    <w:rsid w:val="7B69224B"/>
    <w:rsid w:val="7BE51C69"/>
    <w:rsid w:val="7BE80F25"/>
    <w:rsid w:val="7C1C35A7"/>
    <w:rsid w:val="7C45431D"/>
    <w:rsid w:val="7D25352B"/>
    <w:rsid w:val="7D3219D5"/>
    <w:rsid w:val="7DDD0501"/>
    <w:rsid w:val="7DE51372"/>
    <w:rsid w:val="7DE5466E"/>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3</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2023-04-10T09:59:59Z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